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-11220"/>
        <w:tblW w:w="905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612"/>
        <w:gridCol w:w="2404"/>
        <w:gridCol w:w="436"/>
        <w:gridCol w:w="731"/>
        <w:gridCol w:w="1090"/>
        <w:gridCol w:w="426"/>
        <w:gridCol w:w="283"/>
        <w:gridCol w:w="425"/>
        <w:gridCol w:w="284"/>
        <w:gridCol w:w="425"/>
        <w:gridCol w:w="425"/>
        <w:gridCol w:w="553"/>
      </w:tblGrid>
      <w:tr>
        <w:tblPrEx>
          <w:tblLayout w:type="fixed"/>
        </w:tblPrEx>
        <w:trPr>
          <w:trHeight w:val="851" w:hRule="atLeast"/>
        </w:trPr>
        <w:tc>
          <w:tcPr>
            <w:tcW w:w="905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/>
                <w:b/>
                <w:sz w:val="24"/>
                <w:szCs w:val="22"/>
              </w:rPr>
            </w:pPr>
          </w:p>
          <w:p>
            <w:pPr>
              <w:widowControl/>
              <w:jc w:val="center"/>
              <w:rPr>
                <w:rFonts w:hint="eastAsia" w:ascii="黑体" w:hAnsi="宋体" w:eastAsia="黑体"/>
                <w:b/>
                <w:sz w:val="24"/>
                <w:szCs w:val="22"/>
              </w:rPr>
            </w:pPr>
          </w:p>
          <w:p>
            <w:pPr>
              <w:widowControl/>
              <w:jc w:val="center"/>
              <w:rPr>
                <w:rFonts w:hint="eastAsia" w:ascii="黑体" w:hAnsi="宋体" w:eastAsia="黑体"/>
                <w:b/>
                <w:sz w:val="24"/>
                <w:szCs w:val="22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/>
                <w:b/>
                <w:sz w:val="18"/>
                <w:szCs w:val="18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黑体" w:hAnsi="宋体" w:eastAsia="黑体"/>
                <w:b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eastAsia" w:ascii="黑体" w:hAnsi="宋体" w:eastAsia="黑体" w:cs="黑体"/>
                <w:b/>
                <w:bCs/>
                <w:kern w:val="0"/>
                <w:sz w:val="24"/>
                <w:szCs w:val="22"/>
              </w:rPr>
            </w:pPr>
            <w:bookmarkStart w:id="0" w:name="_GoBack"/>
            <w:r>
              <w:rPr>
                <w:rFonts w:hint="eastAsia" w:ascii="黑体" w:hAnsi="宋体" w:eastAsia="黑体"/>
                <w:b/>
                <w:sz w:val="24"/>
                <w:szCs w:val="22"/>
              </w:rPr>
              <w:t>机械电子工程</w:t>
            </w:r>
            <w:r>
              <w:rPr>
                <w:rFonts w:hint="eastAsia" w:ascii="黑体" w:hAnsi="宋体" w:eastAsia="黑体" w:cs="黑体"/>
                <w:b/>
                <w:bCs/>
                <w:sz w:val="24"/>
                <w:szCs w:val="22"/>
              </w:rPr>
              <w:t>专业</w:t>
            </w:r>
            <w:r>
              <w:rPr>
                <w:rFonts w:hint="eastAsia" w:ascii="黑体" w:hAnsi="宋体" w:eastAsia="黑体" w:cs="黑体"/>
                <w:b/>
                <w:bCs/>
                <w:kern w:val="0"/>
                <w:sz w:val="24"/>
                <w:szCs w:val="22"/>
              </w:rPr>
              <w:t>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宋体" w:eastAsia="黑体"/>
                <w:bCs/>
                <w:kern w:val="0"/>
              </w:rPr>
            </w:pPr>
            <w:r>
              <w:rPr>
                <w:rFonts w:hint="eastAsia" w:ascii="黑体" w:hAnsi="宋体" w:eastAsia="黑体" w:cs="黑体"/>
                <w:bCs/>
                <w:kern w:val="0"/>
              </w:rPr>
              <w:t>（授予学位：工学学士学位）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4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2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1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4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4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spacing w:val="-8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216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线性代数与概率统计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088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模拟电子技术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288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数字电子技术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C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_0449</w:t>
            </w:r>
          </w:p>
        </w:tc>
        <w:tc>
          <w:tcPr>
            <w:tcW w:w="2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单片机原理及应用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2001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机械设计基础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187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自动控制原理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C_1008</w:t>
            </w:r>
          </w:p>
        </w:tc>
        <w:tc>
          <w:tcPr>
            <w:tcW w:w="2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检测技术与信号处理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C_0035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成型技术基础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C_0108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机械制造技术基础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1014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机电传动控制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252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机电设备诊断技术基础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006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高级语言程序设计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C++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254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可编程逻辑控制器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C_1006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嵌入式控制系统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255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变流技术与交流调速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257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spacing w:val="-4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现代高频开关电源技术及应用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084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电力电子技术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292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电力拖动自动控制系统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选修（21）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毕业论文（8）=85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105</w:t>
            </w:r>
          </w:p>
        </w:tc>
        <w:tc>
          <w:tcPr>
            <w:tcW w:w="21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058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</w:t>
            </w:r>
            <w:r>
              <w:rPr>
                <w:rFonts w:hint="eastAsia"/>
                <w:sz w:val="18"/>
                <w:szCs w:val="18"/>
              </w:rPr>
              <w:t>线性代数与概率统计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学位专业课：</w:t>
            </w:r>
            <w:r>
              <w:rPr>
                <w:rFonts w:hint="eastAsia"/>
                <w:sz w:val="18"/>
                <w:szCs w:val="18"/>
              </w:rPr>
              <w:t>模拟电子技术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自动控制原理</w:t>
            </w:r>
          </w:p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打</w:t>
            </w:r>
            <w:r>
              <w:rPr>
                <w:rFonts w:ascii="宋体" w:hAnsi="宋体" w:cs="宋体"/>
                <w:spacing w:val="-8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号的课程含义是：如是本院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机电一体化技术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高升专毕业的，则该课程可以申请免考，但免考总学分最高不超过</w:t>
            </w:r>
            <w:r>
              <w:rPr>
                <w:rFonts w:ascii="宋体" w:hAnsi="宋体" w:cs="宋体"/>
                <w:spacing w:val="-8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8"/>
                <w:kern w:val="0"/>
                <w:sz w:val="18"/>
                <w:szCs w:val="18"/>
              </w:rPr>
              <w:t>分。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0531"/>
    <w:rsid w:val="24250531"/>
    <w:rsid w:val="7BA9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2019-03-13T08:00:00Z</dcterms:created>
  <dc:creator>猴年马月</dc:creator>
  <cp:lastModifiedBy>猴年马月</cp:lastModifiedBy>
  <dcterms:modified xsi:type="dcterms:W3CDTF">2019-03-13T08:00:34Z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